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4FA6C6" w14:textId="19E3721E" w:rsidR="00AD0A51" w:rsidRPr="000A64D8" w:rsidRDefault="00AD0A51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757FDF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2016A" w:rsidRPr="0012016A">
        <w:rPr>
          <w:rFonts w:ascii="Arial" w:hAnsi="Arial" w:cs="Arial"/>
          <w:b/>
          <w:sz w:val="24"/>
          <w:szCs w:val="24"/>
        </w:rPr>
        <w:t>R1-171</w:t>
      </w:r>
      <w:r w:rsidR="00757FDF">
        <w:rPr>
          <w:rFonts w:ascii="Arial" w:hAnsi="Arial" w:cs="Arial"/>
          <w:b/>
          <w:sz w:val="24"/>
          <w:szCs w:val="24"/>
        </w:rPr>
        <w:t>3459</w:t>
      </w:r>
    </w:p>
    <w:p w14:paraId="1DBDD8CB" w14:textId="34B4E7D5" w:rsidR="00AD0A51" w:rsidRPr="00FF5C85" w:rsidRDefault="00757FDF" w:rsidP="00E7114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 xml:space="preserve">21st – 25th August </w:t>
      </w:r>
      <w:r>
        <w:rPr>
          <w:rFonts w:ascii="Arial" w:hAnsi="Arial" w:cs="Arial"/>
          <w:b/>
          <w:sz w:val="24"/>
          <w:szCs w:val="24"/>
        </w:rPr>
        <w:t>2017</w:t>
      </w:r>
    </w:p>
    <w:p w14:paraId="17329594" w14:textId="6279DE94" w:rsidR="00AD0A51" w:rsidRPr="00FF5C85" w:rsidRDefault="00757FDF" w:rsidP="00E7114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>Prague, Czech Republic</w:t>
      </w:r>
    </w:p>
    <w:p w14:paraId="0AA0FA3A" w14:textId="77777777" w:rsidR="00AD0A51" w:rsidRPr="000A64D8" w:rsidRDefault="00AD0A51" w:rsidP="00E71149">
      <w:pPr>
        <w:pStyle w:val="Footer"/>
        <w:jc w:val="both"/>
        <w:rPr>
          <w:noProof w:val="0"/>
        </w:rPr>
      </w:pPr>
    </w:p>
    <w:p w14:paraId="5CAC4408" w14:textId="3B7C92CF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757FDF" w:rsidRPr="00757FDF">
        <w:rPr>
          <w:rFonts w:ascii="Arial" w:hAnsi="Arial"/>
          <w:sz w:val="24"/>
        </w:rPr>
        <w:t>6.1.4.1.2</w:t>
      </w:r>
    </w:p>
    <w:p w14:paraId="43B7F87D" w14:textId="7777777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320EF29B" w:rsidR="00C10599" w:rsidRPr="000A64D8" w:rsidRDefault="0068226B" w:rsidP="00E71149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01027">
        <w:rPr>
          <w:rFonts w:ascii="Arial" w:hAnsi="Arial"/>
          <w:sz w:val="22"/>
        </w:rPr>
        <w:t>LDPC seg</w:t>
      </w:r>
      <w:r w:rsidR="00364673">
        <w:rPr>
          <w:rFonts w:ascii="Arial" w:hAnsi="Arial"/>
          <w:sz w:val="22"/>
        </w:rPr>
        <w:t>mentation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Heading1"/>
        <w:jc w:val="both"/>
      </w:pPr>
      <w:bookmarkStart w:id="2" w:name="_Ref481748349"/>
      <w:r w:rsidRPr="00183CB7">
        <w:t>Introduction</w:t>
      </w:r>
      <w:bookmarkEnd w:id="2"/>
    </w:p>
    <w:p w14:paraId="600A339A" w14:textId="2900E66F" w:rsidR="002B225D" w:rsidRDefault="00172F5C" w:rsidP="00E71149">
      <w:pPr>
        <w:jc w:val="both"/>
      </w:pPr>
      <w:r>
        <w:t xml:space="preserve">From RAN1 </w:t>
      </w:r>
      <w:r w:rsidR="00757FDF">
        <w:t xml:space="preserve">NR </w:t>
      </w:r>
      <w:r w:rsidR="00756528">
        <w:t>Ad Hoc</w:t>
      </w:r>
      <w:r w:rsidR="00757FDF">
        <w:t xml:space="preserve"> #2</w:t>
      </w:r>
      <w:r w:rsidR="00AE74B2">
        <w:t xml:space="preserve"> </w:t>
      </w:r>
      <w:r w:rsidR="00AE74B2">
        <w:fldChar w:fldCharType="begin"/>
      </w:r>
      <w:r w:rsidR="00AE74B2">
        <w:instrText xml:space="preserve"> REF _Ref474112695 \r \h </w:instrText>
      </w:r>
      <w:r w:rsidR="00E71149">
        <w:instrText xml:space="preserve"> \* MERGEFORMAT </w:instrText>
      </w:r>
      <w:r w:rsidR="00AE74B2">
        <w:fldChar w:fldCharType="separate"/>
      </w:r>
      <w:r w:rsidR="00C9530A">
        <w:t>[1]</w:t>
      </w:r>
      <w:r w:rsidR="00AE74B2">
        <w:fldChar w:fldCharType="end"/>
      </w:r>
      <w:r w:rsidR="00756528">
        <w:t>, the following agreement was made</w:t>
      </w:r>
      <w:r w:rsidR="00757FDF">
        <w:t xml:space="preserve"> on TB segmentation.</w:t>
      </w:r>
    </w:p>
    <w:p w14:paraId="753AB1D6" w14:textId="77777777" w:rsidR="00757FDF" w:rsidRPr="00FC2C1A" w:rsidRDefault="00757FDF" w:rsidP="00757FDF">
      <w:pPr>
        <w:rPr>
          <w:b/>
          <w:highlight w:val="green"/>
          <w:u w:val="single"/>
        </w:rPr>
      </w:pPr>
      <w:r w:rsidRPr="00FC2C1A">
        <w:rPr>
          <w:b/>
          <w:highlight w:val="green"/>
          <w:u w:val="single"/>
        </w:rPr>
        <w:t xml:space="preserve">Agreement: </w:t>
      </w:r>
    </w:p>
    <w:p w14:paraId="2294F230" w14:textId="67C554AD" w:rsidR="00757FDF" w:rsidRDefault="00757FDF" w:rsidP="00757FDF">
      <w:pPr>
        <w:pStyle w:val="ListParagraph"/>
        <w:numPr>
          <w:ilvl w:val="0"/>
          <w:numId w:val="36"/>
        </w:numPr>
        <w:jc w:val="both"/>
      </w:pPr>
      <w:r>
        <w:t>Same value of Z for code blocks within a TB</w:t>
      </w:r>
    </w:p>
    <w:p w14:paraId="6AF6F8CC" w14:textId="77777777" w:rsidR="00757FDF" w:rsidRDefault="00757FDF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14:paraId="53F643A5" w14:textId="4CBF88FC" w:rsidR="00DF0E85" w:rsidRDefault="00757FDF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Given this, we discussion the remaining details of segmentation in terms of the code block size.</w:t>
      </w:r>
    </w:p>
    <w:p w14:paraId="082F8D7B" w14:textId="563168F1" w:rsidR="00172F5C" w:rsidRDefault="00172F5C" w:rsidP="00E71149">
      <w:pPr>
        <w:jc w:val="both"/>
      </w:pPr>
    </w:p>
    <w:p w14:paraId="4093B8F2" w14:textId="32779219" w:rsidR="00510624" w:rsidRDefault="00757FDF" w:rsidP="00E71149">
      <w:pPr>
        <w:pStyle w:val="Heading1"/>
        <w:jc w:val="both"/>
      </w:pPr>
      <w:r>
        <w:t>Uniform code block size for s</w:t>
      </w:r>
      <w:r w:rsidR="00510624">
        <w:t>egment</w:t>
      </w:r>
      <w:r w:rsidR="00326110">
        <w:t>ation</w:t>
      </w:r>
    </w:p>
    <w:p w14:paraId="07FF6C72" w14:textId="1660E453" w:rsidR="00757FDF" w:rsidRDefault="00757FDF" w:rsidP="00E71149">
      <w:pPr>
        <w:jc w:val="both"/>
        <w:rPr>
          <w:lang w:val="en-GB"/>
        </w:rPr>
      </w:pPr>
      <w:r>
        <w:rPr>
          <w:lang w:val="en-GB"/>
        </w:rPr>
        <w:t xml:space="preserve">The NR LDPC code is constructed from a coarse set of lift sizes </w:t>
      </w:r>
      <w:r w:rsidRPr="00757FDF">
        <w:rPr>
          <w:i/>
          <w:lang w:val="en-GB"/>
        </w:rPr>
        <w:t>Z</w:t>
      </w:r>
      <w:r>
        <w:rPr>
          <w:lang w:val="en-GB"/>
        </w:rPr>
        <w:t xml:space="preserve">, but can support fine granularity in </w:t>
      </w:r>
      <w:r w:rsidRPr="00757FDF">
        <w:rPr>
          <w:i/>
          <w:lang w:val="en-GB"/>
        </w:rPr>
        <w:t>K</w:t>
      </w:r>
      <w:r>
        <w:rPr>
          <w:lang w:val="en-GB"/>
        </w:rPr>
        <w:t xml:space="preserve"> through bit level shortening of the lifted graph. This means that, for any number of code blocks </w:t>
      </w:r>
      <w:r w:rsidRPr="00757FDF">
        <w:rPr>
          <w:i/>
          <w:lang w:val="en-GB"/>
        </w:rPr>
        <w:t>nCB</w:t>
      </w:r>
      <w:r>
        <w:rPr>
          <w:lang w:val="en-GB"/>
        </w:rPr>
        <w:t xml:space="preserve"> the transport block (TB) size </w:t>
      </w:r>
      <w:r w:rsidRPr="00757FDF">
        <w:rPr>
          <w:i/>
          <w:lang w:val="en-GB"/>
        </w:rPr>
        <w:t>B</w:t>
      </w:r>
      <w:r>
        <w:rPr>
          <w:lang w:val="en-GB"/>
        </w:rPr>
        <w:t xml:space="preserve"> can be divided into equally sized segments of length </w:t>
      </w:r>
      <m:oMath>
        <m:r>
          <w:rPr>
            <w:rFonts w:ascii="Cambria Math" w:hAnsi="Cambria Math"/>
            <w:lang w:val="en-GB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B/nCB</m:t>
            </m:r>
          </m:e>
        </m:d>
      </m:oMath>
      <w:r>
        <w:rPr>
          <w:lang w:val="en-GB"/>
        </w:rPr>
        <w:t xml:space="preserve">. </w:t>
      </w:r>
    </w:p>
    <w:p w14:paraId="6BA60516" w14:textId="5395D7A7" w:rsidR="00757FDF" w:rsidRDefault="00757FDF" w:rsidP="00E71149">
      <w:pPr>
        <w:jc w:val="both"/>
        <w:rPr>
          <w:lang w:val="en-GB"/>
        </w:rPr>
      </w:pPr>
      <w:r>
        <w:rPr>
          <w:lang w:val="en-GB"/>
        </w:rPr>
        <w:t xml:space="preserve">This ceiling operation can increase the aggregate size of the segments by no more than </w:t>
      </w:r>
      <w:r w:rsidRPr="00757FDF">
        <w:rPr>
          <w:i/>
          <w:lang w:val="en-GB"/>
        </w:rPr>
        <w:t>nCB</w:t>
      </w:r>
      <w:r>
        <w:rPr>
          <w:i/>
          <w:lang w:val="en-GB"/>
        </w:rPr>
        <w:t xml:space="preserve"> </w:t>
      </w:r>
      <w:r w:rsidR="004B1A77">
        <w:rPr>
          <w:lang w:val="en-GB"/>
        </w:rPr>
        <w:t xml:space="preserve">bits due to the fine granularity of the code. To analyse the percentage overhead that can result, let us </w:t>
      </w:r>
      <w:r w:rsidR="006E1E22">
        <w:rPr>
          <w:lang w:val="en-GB"/>
        </w:rPr>
        <w:t xml:space="preserve">consider the smallest TB size B that can result in </w:t>
      </w:r>
      <w:r w:rsidR="006E1E22" w:rsidRPr="006E1E22">
        <w:rPr>
          <w:i/>
          <w:lang w:val="en-GB"/>
        </w:rPr>
        <w:t>nCB</w:t>
      </w:r>
      <w:r w:rsidR="006E1E22">
        <w:rPr>
          <w:i/>
          <w:lang w:val="en-GB"/>
        </w:rPr>
        <w:t>+1</w:t>
      </w:r>
      <w:r w:rsidR="006E1E22">
        <w:rPr>
          <w:lang w:val="en-GB"/>
        </w:rPr>
        <w:t xml:space="preserve"> code blocks. That is, suppose </w:t>
      </w:r>
    </w:p>
    <w:p w14:paraId="0877ED8F" w14:textId="71D0A6D2" w:rsidR="006E1E22" w:rsidRPr="006E1E22" w:rsidRDefault="006E1E22" w:rsidP="00E71149">
      <w:pPr>
        <w:jc w:val="both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B=8448(nCB)+1.</m:t>
          </m:r>
        </m:oMath>
      </m:oMathPara>
    </w:p>
    <w:p w14:paraId="0B67B06B" w14:textId="4C069071" w:rsidR="006E1E22" w:rsidRDefault="006E1E22" w:rsidP="00E71149">
      <w:pPr>
        <w:jc w:val="both"/>
        <w:rPr>
          <w:lang w:val="en-GB"/>
        </w:rPr>
      </w:pPr>
      <w:r>
        <w:rPr>
          <w:lang w:val="en-GB"/>
        </w:rPr>
        <w:t xml:space="preserve">In this </w:t>
      </w:r>
      <w:r w:rsidR="003F2E91">
        <w:rPr>
          <w:lang w:val="en-GB"/>
        </w:rPr>
        <w:t xml:space="preserve">case, given that the upper bound on </w:t>
      </w:r>
      <w:r>
        <w:rPr>
          <w:lang w:val="en-GB"/>
        </w:rPr>
        <w:t xml:space="preserve">overhead is </w:t>
      </w:r>
      <w:r w:rsidRPr="006E1E22">
        <w:rPr>
          <w:i/>
          <w:lang w:val="en-GB"/>
        </w:rPr>
        <w:t>nCB</w:t>
      </w:r>
      <w:r>
        <w:rPr>
          <w:i/>
          <w:lang w:val="en-GB"/>
        </w:rPr>
        <w:t>+1</w:t>
      </w:r>
      <w:r w:rsidR="003F2E91">
        <w:rPr>
          <w:i/>
          <w:lang w:val="en-GB"/>
        </w:rPr>
        <w:t xml:space="preserve"> </w:t>
      </w:r>
      <w:r w:rsidR="003F2E91">
        <w:rPr>
          <w:lang w:val="en-GB"/>
        </w:rPr>
        <w:t xml:space="preserve">bits, </w:t>
      </w:r>
      <w:r>
        <w:rPr>
          <w:lang w:val="en-GB"/>
        </w:rPr>
        <w:t xml:space="preserve">we see that the overhead percentage is </w:t>
      </w:r>
      <w:bookmarkStart w:id="3" w:name="_GoBack"/>
      <w:bookmarkEnd w:id="3"/>
    </w:p>
    <w:p w14:paraId="72545275" w14:textId="470A6930" w:rsidR="006E1E22" w:rsidRPr="006E1E22" w:rsidRDefault="006E1E22" w:rsidP="00E71149">
      <w:pPr>
        <w:jc w:val="both"/>
        <w:rPr>
          <w:lang w:val="en-GB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GB"/>
            </w:rPr>
            <m:t>Overhead</m:t>
          </m:r>
          <m:r>
            <w:rPr>
              <w:rFonts w:ascii="Cambria Math" w:hAnsi="Cambria Math"/>
              <w:lang w:val="en-GB"/>
            </w:rPr>
            <m:t>≤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nCB+1</m:t>
              </m:r>
            </m:num>
            <m:den>
              <m:r>
                <w:rPr>
                  <w:rFonts w:ascii="Cambria Math" w:hAnsi="Cambria Math"/>
                  <w:lang w:val="en-GB"/>
                </w:rPr>
                <m:t>8448(nCB)+1</m:t>
              </m:r>
            </m:den>
          </m:f>
        </m:oMath>
      </m:oMathPara>
    </w:p>
    <w:p w14:paraId="02C5C366" w14:textId="677F7C36" w:rsidR="006E1E22" w:rsidRDefault="00F21A74" w:rsidP="00E71149">
      <w:pPr>
        <w:jc w:val="both"/>
        <w:rPr>
          <w:lang w:val="en-GB"/>
        </w:rPr>
      </w:pPr>
      <w:r>
        <w:rPr>
          <w:lang w:val="en-GB"/>
        </w:rPr>
        <w:t>T</w:t>
      </w:r>
      <w:r w:rsidR="006E1E22">
        <w:rPr>
          <w:lang w:val="en-GB"/>
        </w:rPr>
        <w:t xml:space="preserve">his has a maximum at 1/4224 = 0.02% and an asymptote of 1/8448 = 0.01%. </w:t>
      </w:r>
    </w:p>
    <w:p w14:paraId="37956840" w14:textId="2777B28F" w:rsidR="006E1E22" w:rsidRDefault="006E1E22" w:rsidP="00E71149">
      <w:pPr>
        <w:jc w:val="both"/>
        <w:rPr>
          <w:lang w:val="en-GB"/>
        </w:rPr>
      </w:pPr>
      <w:r>
        <w:rPr>
          <w:lang w:val="en-GB"/>
        </w:rPr>
        <w:t>As the overhead is negligible, we propose that the segmentation rule be simplified with a uniform code block size, which can allow simple hardware descriptio</w:t>
      </w:r>
      <w:r w:rsidR="00F21A74">
        <w:rPr>
          <w:lang w:val="en-GB"/>
        </w:rPr>
        <w:t>n</w:t>
      </w:r>
      <w:r>
        <w:rPr>
          <w:lang w:val="en-GB"/>
        </w:rPr>
        <w:t>.</w:t>
      </w:r>
    </w:p>
    <w:p w14:paraId="4093FCAC" w14:textId="02B994D5" w:rsidR="006E1E22" w:rsidRPr="006E1E22" w:rsidRDefault="006E1E22" w:rsidP="00E71149">
      <w:pPr>
        <w:jc w:val="both"/>
        <w:rPr>
          <w:lang w:val="en-GB"/>
        </w:rPr>
      </w:pPr>
      <w:r w:rsidRPr="006E1E22">
        <w:rPr>
          <w:b/>
          <w:u w:val="single"/>
          <w:lang w:val="en-GB"/>
        </w:rPr>
        <w:t>Proposal:</w:t>
      </w:r>
      <w:r>
        <w:rPr>
          <w:lang w:val="en-GB"/>
        </w:rPr>
        <w:t xml:space="preserve"> The same value of code block size </w:t>
      </w:r>
      <w:r w:rsidRPr="006E1E22">
        <w:rPr>
          <w:i/>
          <w:lang w:val="en-GB"/>
        </w:rPr>
        <w:t>K</w:t>
      </w:r>
      <w:r>
        <w:rPr>
          <w:lang w:val="en-GB"/>
        </w:rPr>
        <w:t xml:space="preserve"> should be used for all code blocks within a TB.</w:t>
      </w:r>
    </w:p>
    <w:p w14:paraId="43B7F891" w14:textId="2CD3605A" w:rsidR="004503F9" w:rsidRDefault="004503F9" w:rsidP="00E71149">
      <w:pPr>
        <w:pStyle w:val="Heading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13677DD1" w14:textId="598DFB39" w:rsidR="00B0663A" w:rsidRPr="006E1E22" w:rsidRDefault="006E1E22" w:rsidP="00E71149">
      <w:pPr>
        <w:jc w:val="both"/>
        <w:rPr>
          <w:lang w:val="en-GB"/>
        </w:rPr>
      </w:pPr>
      <w:r w:rsidRPr="006E1E22">
        <w:rPr>
          <w:b/>
          <w:u w:val="single"/>
          <w:lang w:val="en-GB"/>
        </w:rPr>
        <w:t>Proposal:</w:t>
      </w:r>
      <w:r>
        <w:rPr>
          <w:lang w:val="en-GB"/>
        </w:rPr>
        <w:t xml:space="preserve"> The same value of code block size </w:t>
      </w:r>
      <w:r w:rsidRPr="006E1E22">
        <w:rPr>
          <w:i/>
          <w:lang w:val="en-GB"/>
        </w:rPr>
        <w:t>K</w:t>
      </w:r>
      <w:r>
        <w:rPr>
          <w:lang w:val="en-GB"/>
        </w:rPr>
        <w:t xml:space="preserve"> should be used for all code blocks within a TB.</w:t>
      </w:r>
    </w:p>
    <w:p w14:paraId="43B7F896" w14:textId="77777777" w:rsidR="00E523F3" w:rsidRPr="000A64D8" w:rsidRDefault="00E523F3" w:rsidP="00E71149">
      <w:pPr>
        <w:pStyle w:val="Heading1"/>
        <w:jc w:val="both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56C764B0" w14:textId="47E9799A" w:rsidR="00353863" w:rsidRPr="00FB2065" w:rsidRDefault="00A278A7" w:rsidP="00FB2065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4" w:name="_Ref474112695"/>
      <w:r>
        <w:rPr>
          <w:szCs w:val="22"/>
        </w:rPr>
        <w:t xml:space="preserve">Chairman’s Notes, RAN1 </w:t>
      </w:r>
      <w:r w:rsidR="00ED6E61">
        <w:rPr>
          <w:szCs w:val="22"/>
        </w:rPr>
        <w:t>Ad Hoc</w:t>
      </w:r>
      <w:r w:rsidR="00FB2065">
        <w:rPr>
          <w:szCs w:val="22"/>
        </w:rPr>
        <w:t xml:space="preserve"> #1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bookmarkEnd w:id="4"/>
      <w:r w:rsidR="00FB2065">
        <w:rPr>
          <w:szCs w:val="22"/>
        </w:rPr>
        <w:t>Qingdao, China.</w:t>
      </w:r>
    </w:p>
    <w:sectPr w:rsidR="00353863" w:rsidRPr="00FB206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B51DB" w14:textId="77777777" w:rsidR="00BA3654" w:rsidRDefault="00BA3654">
      <w:r>
        <w:separator/>
      </w:r>
    </w:p>
  </w:endnote>
  <w:endnote w:type="continuationSeparator" w:id="0">
    <w:p w14:paraId="62FB44C2" w14:textId="77777777" w:rsidR="00BA3654" w:rsidRDefault="00BA3654">
      <w:r>
        <w:continuationSeparator/>
      </w:r>
    </w:p>
  </w:endnote>
  <w:endnote w:type="continuationNotice" w:id="1">
    <w:p w14:paraId="2916FB3C" w14:textId="77777777" w:rsidR="00BA3654" w:rsidRDefault="00BA36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2E0706" w:rsidRDefault="002E070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E0706" w:rsidRDefault="002E070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756372C0" w:rsidR="002E0706" w:rsidRDefault="002E070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2E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2E9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A5D75" w14:textId="77777777" w:rsidR="00BA3654" w:rsidRDefault="00BA3654">
      <w:r>
        <w:separator/>
      </w:r>
    </w:p>
  </w:footnote>
  <w:footnote w:type="continuationSeparator" w:id="0">
    <w:p w14:paraId="57301B28" w14:textId="77777777" w:rsidR="00BA3654" w:rsidRDefault="00BA3654">
      <w:r>
        <w:continuationSeparator/>
      </w:r>
    </w:p>
  </w:footnote>
  <w:footnote w:type="continuationNotice" w:id="1">
    <w:p w14:paraId="5B3ED31B" w14:textId="77777777" w:rsidR="00BA3654" w:rsidRDefault="00BA36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090959"/>
    <w:multiLevelType w:val="hybridMultilevel"/>
    <w:tmpl w:val="9E8A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22"/>
  </w:num>
  <w:num w:numId="5">
    <w:abstractNumId w:val="5"/>
  </w:num>
  <w:num w:numId="6">
    <w:abstractNumId w:val="11"/>
  </w:num>
  <w:num w:numId="7">
    <w:abstractNumId w:val="14"/>
  </w:num>
  <w:num w:numId="8">
    <w:abstractNumId w:val="1"/>
  </w:num>
  <w:num w:numId="9">
    <w:abstractNumId w:val="33"/>
    <w:lvlOverride w:ilvl="0">
      <w:startOverride w:val="1"/>
    </w:lvlOverride>
  </w:num>
  <w:num w:numId="10">
    <w:abstractNumId w:val="27"/>
  </w:num>
  <w:num w:numId="11">
    <w:abstractNumId w:val="30"/>
  </w:num>
  <w:num w:numId="12">
    <w:abstractNumId w:val="28"/>
  </w:num>
  <w:num w:numId="13">
    <w:abstractNumId w:val="3"/>
  </w:num>
  <w:num w:numId="14">
    <w:abstractNumId w:val="17"/>
  </w:num>
  <w:num w:numId="15">
    <w:abstractNumId w:val="19"/>
  </w:num>
  <w:num w:numId="16">
    <w:abstractNumId w:val="13"/>
  </w:num>
  <w:num w:numId="17">
    <w:abstractNumId w:val="9"/>
  </w:num>
  <w:num w:numId="18">
    <w:abstractNumId w:val="8"/>
  </w:num>
  <w:num w:numId="19">
    <w:abstractNumId w:val="20"/>
  </w:num>
  <w:num w:numId="20">
    <w:abstractNumId w:val="25"/>
  </w:num>
  <w:num w:numId="21">
    <w:abstractNumId w:val="31"/>
  </w:num>
  <w:num w:numId="22">
    <w:abstractNumId w:val="34"/>
  </w:num>
  <w:num w:numId="23">
    <w:abstractNumId w:val="12"/>
  </w:num>
  <w:num w:numId="24">
    <w:abstractNumId w:val="10"/>
  </w:num>
  <w:num w:numId="25">
    <w:abstractNumId w:val="21"/>
  </w:num>
  <w:num w:numId="26">
    <w:abstractNumId w:val="15"/>
  </w:num>
  <w:num w:numId="27">
    <w:abstractNumId w:val="2"/>
  </w:num>
  <w:num w:numId="28">
    <w:abstractNumId w:val="24"/>
  </w:num>
  <w:num w:numId="29">
    <w:abstractNumId w:val="23"/>
  </w:num>
  <w:num w:numId="30">
    <w:abstractNumId w:val="7"/>
  </w:num>
  <w:num w:numId="31">
    <w:abstractNumId w:val="16"/>
  </w:num>
  <w:num w:numId="32">
    <w:abstractNumId w:val="6"/>
  </w:num>
  <w:num w:numId="33">
    <w:abstractNumId w:val="29"/>
  </w:num>
  <w:num w:numId="34">
    <w:abstractNumId w:val="32"/>
  </w:num>
  <w:num w:numId="35">
    <w:abstractNumId w:val="2"/>
  </w:num>
  <w:num w:numId="36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CC4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E91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4D4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A77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22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DF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6D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1D6D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A8B"/>
    <w:rsid w:val="00996CD4"/>
    <w:rsid w:val="00996FFE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091"/>
    <w:rsid w:val="009A4990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BF8"/>
    <w:rsid w:val="009B70E9"/>
    <w:rsid w:val="009B7564"/>
    <w:rsid w:val="009B7BB7"/>
    <w:rsid w:val="009B7F98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A5"/>
    <w:rsid w:val="00A25C9D"/>
    <w:rsid w:val="00A261E4"/>
    <w:rsid w:val="00A265D9"/>
    <w:rsid w:val="00A267CE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A5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5AC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54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73"/>
    <w:rsid w:val="00BC3CF8"/>
    <w:rsid w:val="00BC44EF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8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0E85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A90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37D8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6E6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A74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359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065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HR33RHYHUWRF-4-5478</_dlc_DocId>
    <_dlc_DocIdUrl xmlns="c06861ca-3f08-4d07-bff7-bb15bac121f4">
      <Url>https://projects.qualcomm.com/sites/pentari/_layouts/15/DocIdRedir.aspx?ID=HR33RHYHUWRF-4-5478</Url>
      <Description>HR33RHYHUWRF-4-5478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7615CC-A3D5-4DFD-A6EC-D8362BB7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34</cp:revision>
  <cp:lastPrinted>2014-11-07T05:38:00Z</cp:lastPrinted>
  <dcterms:created xsi:type="dcterms:W3CDTF">2017-05-06T13:07:00Z</dcterms:created>
  <dcterms:modified xsi:type="dcterms:W3CDTF">2017-08-11T19:40:00Z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1560901583</vt:i4>
  </property>
  <property fmtid="{D5CDD505-2E9C-101B-9397-08002B2CF9AE}" pid="3" name="_NewReviewCycle">
    <vt:lpwstr/>
  </property>
  <property fmtid="{D5CDD505-2E9C-101B-9397-08002B2CF9AE}" pid="4" name="_EmailSubject">
    <vt:lpwstr>Rate matching and segmentation contribution</vt:lpwstr>
  </property>
  <property fmtid="{D5CDD505-2E9C-101B-9397-08002B2CF9AE}" pid="5" name="_AuthorEmail">
    <vt:lpwstr>vloncke@qti.qualcomm.com</vt:lpwstr>
  </property>
  <property fmtid="{D5CDD505-2E9C-101B-9397-08002B2CF9AE}" pid="6" name="_AuthorEmailDisplayName">
    <vt:lpwstr>Vincent Loncke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a016553b-e559-470b-a0dc-69ce83af010e</vt:lpwstr>
  </property>
  <property fmtid="{D5CDD505-2E9C-101B-9397-08002B2CF9AE}" pid="10" name="_ReviewingToolsShownOnce">
    <vt:lpwstr/>
  </property>
</Properties>
</file>